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254A1">
      <w:pPr>
        <w:jc w:val="center"/>
        <w:rPr>
          <w:rFonts w:ascii="方正大标宋简体" w:hAnsi="黑体" w:eastAsia="方正大标宋简体" w:cs="黑体"/>
          <w:sz w:val="36"/>
          <w:szCs w:val="36"/>
        </w:rPr>
      </w:pPr>
      <w:r>
        <w:rPr>
          <w:rFonts w:hint="eastAsia" w:ascii="方正大标宋简体" w:hAnsi="黑体" w:eastAsia="方正大标宋简体" w:cs="黑体"/>
          <w:sz w:val="36"/>
          <w:szCs w:val="36"/>
        </w:rPr>
        <w:t>南通市申报教师专业资格人员师德综合考核表</w:t>
      </w:r>
    </w:p>
    <w:tbl>
      <w:tblPr>
        <w:tblStyle w:val="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535"/>
        <w:gridCol w:w="603"/>
        <w:gridCol w:w="721"/>
        <w:gridCol w:w="567"/>
        <w:gridCol w:w="782"/>
        <w:gridCol w:w="1122"/>
        <w:gridCol w:w="183"/>
        <w:gridCol w:w="2376"/>
      </w:tblGrid>
      <w:tr w14:paraId="246E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noWrap w:val="0"/>
            <w:vAlign w:val="center"/>
          </w:tcPr>
          <w:p w14:paraId="00653A94">
            <w:pPr>
              <w:jc w:val="center"/>
              <w:rPr>
                <w:rFonts w:hint="eastAsia" w:ascii="仿宋_GB2312" w:hAnsi="仿宋" w:eastAsia="仿宋_GB2312" w:cs="仿宋"/>
                <w:sz w:val="24"/>
              </w:rPr>
            </w:pPr>
            <w:r>
              <w:rPr>
                <w:rFonts w:hint="eastAsia" w:ascii="仿宋_GB2312" w:hAnsi="仿宋" w:eastAsia="仿宋_GB2312" w:cs="仿宋"/>
                <w:sz w:val="24"/>
              </w:rPr>
              <w:t>姓  名</w:t>
            </w:r>
          </w:p>
        </w:tc>
        <w:tc>
          <w:tcPr>
            <w:tcW w:w="1905" w:type="dxa"/>
            <w:gridSpan w:val="3"/>
            <w:shd w:val="clear" w:color="auto" w:fill="auto"/>
            <w:noWrap w:val="0"/>
            <w:vAlign w:val="center"/>
          </w:tcPr>
          <w:p w14:paraId="5A445BD7">
            <w:pPr>
              <w:jc w:val="center"/>
              <w:rPr>
                <w:rFonts w:hint="eastAsia" w:ascii="仿宋_GB2312" w:hAnsi="仿宋" w:eastAsia="仿宋_GB2312" w:cs="仿宋"/>
                <w:sz w:val="24"/>
              </w:rPr>
            </w:pPr>
            <w:r>
              <w:rPr>
                <w:rFonts w:hint="eastAsia" w:eastAsia="仿宋" w:cs="仿宋"/>
                <w:sz w:val="24"/>
                <w:lang w:val="en-US" w:eastAsia="zh-CN"/>
              </w:rPr>
              <w:t>季林波</w:t>
            </w:r>
          </w:p>
        </w:tc>
        <w:tc>
          <w:tcPr>
            <w:tcW w:w="1378" w:type="dxa"/>
            <w:gridSpan w:val="2"/>
            <w:shd w:val="clear" w:color="auto" w:fill="auto"/>
            <w:noWrap w:val="0"/>
            <w:vAlign w:val="center"/>
          </w:tcPr>
          <w:p w14:paraId="1EF7C41A">
            <w:pPr>
              <w:rPr>
                <w:rFonts w:hint="eastAsia" w:ascii="仿宋_GB2312" w:hAnsi="仿宋" w:eastAsia="仿宋_GB2312" w:cs="仿宋"/>
                <w:sz w:val="24"/>
              </w:rPr>
            </w:pPr>
            <w:r>
              <w:rPr>
                <w:rFonts w:hint="eastAsia" w:ascii="仿宋_GB2312" w:hAnsi="仿宋" w:eastAsia="仿宋_GB2312" w:cs="仿宋"/>
                <w:sz w:val="24"/>
              </w:rPr>
              <w:t>申报资格</w:t>
            </w:r>
          </w:p>
        </w:tc>
        <w:tc>
          <w:tcPr>
            <w:tcW w:w="3458" w:type="dxa"/>
            <w:gridSpan w:val="3"/>
            <w:shd w:val="clear" w:color="auto" w:fill="auto"/>
            <w:noWrap w:val="0"/>
            <w:vAlign w:val="center"/>
          </w:tcPr>
          <w:p w14:paraId="3474866A">
            <w:pPr>
              <w:jc w:val="center"/>
              <w:rPr>
                <w:rFonts w:hint="eastAsia" w:ascii="仿宋_GB2312" w:hAnsi="仿宋" w:eastAsia="仿宋_GB2312" w:cs="仿宋"/>
                <w:sz w:val="24"/>
                <w:lang w:val="en-US" w:eastAsia="zh-CN"/>
              </w:rPr>
            </w:pPr>
            <w:r>
              <w:rPr>
                <w:rFonts w:hint="eastAsia" w:ascii="仿宋_GB2312" w:hAnsi="仿宋" w:eastAsia="仿宋_GB2312" w:cs="仿宋"/>
                <w:sz w:val="24"/>
                <w:lang w:val="en-US" w:eastAsia="zh-CN"/>
              </w:rPr>
              <w:t>中学高级</w:t>
            </w:r>
          </w:p>
        </w:tc>
      </w:tr>
      <w:tr w14:paraId="1F9D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shd w:val="clear" w:color="auto" w:fill="auto"/>
            <w:noWrap w:val="0"/>
            <w:vAlign w:val="center"/>
          </w:tcPr>
          <w:p w14:paraId="590C9176">
            <w:pPr>
              <w:jc w:val="center"/>
              <w:rPr>
                <w:rFonts w:hint="eastAsia" w:ascii="仿宋_GB2312" w:hAnsi="仿宋" w:eastAsia="仿宋_GB2312" w:cs="仿宋"/>
                <w:sz w:val="24"/>
              </w:rPr>
            </w:pPr>
            <w:r>
              <w:rPr>
                <w:rFonts w:hint="eastAsia" w:ascii="仿宋_GB2312" w:hAnsi="仿宋" w:eastAsia="仿宋_GB2312" w:cs="仿宋"/>
                <w:sz w:val="24"/>
              </w:rPr>
              <w:t>工作单位及职务</w:t>
            </w:r>
          </w:p>
        </w:tc>
        <w:tc>
          <w:tcPr>
            <w:tcW w:w="3283" w:type="dxa"/>
            <w:gridSpan w:val="5"/>
            <w:shd w:val="clear" w:color="auto" w:fill="auto"/>
            <w:noWrap w:val="0"/>
            <w:vAlign w:val="center"/>
          </w:tcPr>
          <w:p w14:paraId="6EA65C20">
            <w:pPr>
              <w:jc w:val="center"/>
              <w:rPr>
                <w:rFonts w:hint="eastAsia" w:eastAsia="仿宋" w:cs="仿宋"/>
                <w:sz w:val="21"/>
                <w:szCs w:val="21"/>
                <w:lang w:val="en-US" w:eastAsia="zh-CN"/>
              </w:rPr>
            </w:pPr>
            <w:r>
              <w:rPr>
                <w:rFonts w:hint="eastAsia" w:eastAsia="仿宋" w:cs="仿宋"/>
                <w:sz w:val="21"/>
                <w:szCs w:val="21"/>
                <w:lang w:eastAsia="zh-CN"/>
              </w:rPr>
              <w:t>江苏省海安高级中学</w:t>
            </w:r>
            <w:r>
              <w:rPr>
                <w:rFonts w:hint="eastAsia" w:eastAsia="仿宋" w:cs="仿宋"/>
                <w:sz w:val="21"/>
                <w:szCs w:val="21"/>
                <w:lang w:val="en-US" w:eastAsia="zh-CN"/>
              </w:rPr>
              <w:t xml:space="preserve">  </w:t>
            </w:r>
          </w:p>
          <w:p w14:paraId="1391FBF1">
            <w:pPr>
              <w:jc w:val="center"/>
              <w:rPr>
                <w:rFonts w:hint="eastAsia" w:ascii="仿宋_GB2312" w:hAnsi="仿宋" w:eastAsia="仿宋_GB2312" w:cs="仿宋"/>
                <w:sz w:val="24"/>
              </w:rPr>
            </w:pPr>
            <w:r>
              <w:rPr>
                <w:rFonts w:hint="eastAsia" w:eastAsia="仿宋" w:cs="仿宋"/>
                <w:sz w:val="21"/>
                <w:szCs w:val="21"/>
                <w:lang w:val="en-US" w:eastAsia="zh-CN"/>
              </w:rPr>
              <w:t>校办副主任</w:t>
            </w:r>
          </w:p>
        </w:tc>
        <w:tc>
          <w:tcPr>
            <w:tcW w:w="1333" w:type="dxa"/>
            <w:gridSpan w:val="2"/>
            <w:shd w:val="clear" w:color="auto" w:fill="auto"/>
            <w:noWrap w:val="0"/>
            <w:vAlign w:val="center"/>
          </w:tcPr>
          <w:p w14:paraId="20923B04">
            <w:pPr>
              <w:jc w:val="center"/>
              <w:rPr>
                <w:rFonts w:hint="eastAsia" w:ascii="仿宋_GB2312" w:hAnsi="仿宋" w:eastAsia="仿宋_GB2312" w:cs="仿宋"/>
                <w:sz w:val="24"/>
              </w:rPr>
            </w:pPr>
            <w:r>
              <w:rPr>
                <w:rFonts w:hint="eastAsia" w:ascii="仿宋_GB2312" w:hAnsi="仿宋" w:eastAsia="仿宋_GB2312" w:cs="仿宋"/>
                <w:sz w:val="24"/>
              </w:rPr>
              <w:t>身份证号</w:t>
            </w:r>
          </w:p>
        </w:tc>
        <w:tc>
          <w:tcPr>
            <w:tcW w:w="2125" w:type="dxa"/>
            <w:shd w:val="clear" w:color="auto" w:fill="auto"/>
            <w:noWrap w:val="0"/>
            <w:vAlign w:val="center"/>
          </w:tcPr>
          <w:p w14:paraId="539390FA">
            <w:pPr>
              <w:jc w:val="center"/>
              <w:rPr>
                <w:rFonts w:hint="default" w:ascii="仿宋_GB2312" w:hAnsi="仿宋" w:eastAsia="仿宋_GB2312" w:cs="仿宋"/>
                <w:sz w:val="24"/>
                <w:lang w:val="en-US" w:eastAsia="zh-CN"/>
              </w:rPr>
            </w:pPr>
            <w:r>
              <w:rPr>
                <w:rFonts w:hint="eastAsia" w:ascii="仿宋_GB2312" w:hAnsi="仿宋" w:eastAsia="仿宋_GB2312" w:cs="仿宋"/>
                <w:sz w:val="24"/>
                <w:lang w:val="en-US" w:eastAsia="zh-CN"/>
              </w:rPr>
              <w:t>320624197711173013</w:t>
            </w:r>
          </w:p>
        </w:tc>
      </w:tr>
      <w:tr w14:paraId="440C8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9"/>
            <w:shd w:val="clear" w:color="auto" w:fill="auto"/>
            <w:noWrap w:val="0"/>
            <w:vAlign w:val="center"/>
          </w:tcPr>
          <w:p w14:paraId="337EC0F7">
            <w:pPr>
              <w:jc w:val="center"/>
              <w:rPr>
                <w:rFonts w:hint="eastAsia" w:ascii="仿宋_GB2312" w:hAnsi="仿宋" w:eastAsia="仿宋_GB2312" w:cs="仿宋"/>
                <w:sz w:val="24"/>
              </w:rPr>
            </w:pPr>
            <w:r>
              <w:rPr>
                <w:rFonts w:hint="eastAsia" w:ascii="仿宋_GB2312" w:hAnsi="仿宋" w:eastAsia="仿宋_GB2312" w:cs="仿宋"/>
                <w:sz w:val="24"/>
              </w:rPr>
              <w:t>德育工作或师德师风方面表彰奖励</w:t>
            </w:r>
          </w:p>
        </w:tc>
      </w:tr>
      <w:tr w14:paraId="09234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1" w:type="dxa"/>
            <w:gridSpan w:val="3"/>
            <w:shd w:val="clear" w:color="auto" w:fill="auto"/>
            <w:noWrap w:val="0"/>
            <w:vAlign w:val="center"/>
          </w:tcPr>
          <w:p w14:paraId="68D80788">
            <w:pPr>
              <w:jc w:val="center"/>
              <w:rPr>
                <w:rFonts w:hint="eastAsia" w:ascii="仿宋_GB2312" w:hAnsi="仿宋" w:eastAsia="仿宋_GB2312" w:cs="仿宋"/>
                <w:sz w:val="24"/>
              </w:rPr>
            </w:pPr>
            <w:r>
              <w:rPr>
                <w:rFonts w:hint="eastAsia" w:ascii="仿宋_GB2312" w:hAnsi="仿宋" w:eastAsia="仿宋_GB2312" w:cs="仿宋"/>
                <w:sz w:val="24"/>
              </w:rPr>
              <w:t>荣誉称号</w:t>
            </w:r>
          </w:p>
        </w:tc>
        <w:tc>
          <w:tcPr>
            <w:tcW w:w="3450" w:type="dxa"/>
            <w:gridSpan w:val="5"/>
            <w:shd w:val="clear" w:color="auto" w:fill="auto"/>
            <w:noWrap w:val="0"/>
            <w:vAlign w:val="center"/>
          </w:tcPr>
          <w:p w14:paraId="2E21A635">
            <w:pPr>
              <w:jc w:val="center"/>
              <w:rPr>
                <w:rFonts w:hint="eastAsia" w:ascii="仿宋_GB2312" w:hAnsi="仿宋" w:eastAsia="仿宋_GB2312" w:cs="仿宋"/>
                <w:sz w:val="24"/>
              </w:rPr>
            </w:pPr>
            <w:r>
              <w:rPr>
                <w:rFonts w:hint="eastAsia" w:ascii="仿宋_GB2312" w:hAnsi="仿宋" w:eastAsia="仿宋_GB2312" w:cs="仿宋"/>
                <w:sz w:val="24"/>
              </w:rPr>
              <w:t>颁奖部门</w:t>
            </w:r>
          </w:p>
        </w:tc>
        <w:tc>
          <w:tcPr>
            <w:tcW w:w="2125" w:type="dxa"/>
            <w:shd w:val="clear" w:color="auto" w:fill="auto"/>
            <w:noWrap w:val="0"/>
            <w:vAlign w:val="center"/>
          </w:tcPr>
          <w:p w14:paraId="49B70556">
            <w:pPr>
              <w:jc w:val="center"/>
              <w:rPr>
                <w:rFonts w:hint="eastAsia" w:ascii="仿宋_GB2312" w:hAnsi="仿宋" w:eastAsia="仿宋_GB2312" w:cs="仿宋"/>
                <w:sz w:val="24"/>
              </w:rPr>
            </w:pPr>
            <w:r>
              <w:rPr>
                <w:rFonts w:hint="eastAsia" w:ascii="仿宋_GB2312" w:hAnsi="仿宋" w:eastAsia="仿宋_GB2312" w:cs="仿宋"/>
                <w:sz w:val="24"/>
              </w:rPr>
              <w:t>时间</w:t>
            </w:r>
          </w:p>
        </w:tc>
      </w:tr>
      <w:tr w14:paraId="4962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721" w:type="dxa"/>
            <w:gridSpan w:val="3"/>
            <w:shd w:val="clear" w:color="auto" w:fill="auto"/>
            <w:noWrap w:val="0"/>
            <w:vAlign w:val="top"/>
          </w:tcPr>
          <w:p w14:paraId="35F3CA94">
            <w:pPr>
              <w:jc w:val="center"/>
              <w:rPr>
                <w:rFonts w:hint="default" w:ascii="仿宋_GB2312" w:hAnsi="仿宋" w:eastAsia="仿宋_GB2312" w:cs="仿宋"/>
                <w:sz w:val="24"/>
                <w:lang w:val="en-US" w:eastAsia="zh-CN"/>
              </w:rPr>
            </w:pPr>
            <w:r>
              <w:rPr>
                <w:rFonts w:hint="eastAsia" w:ascii="仿宋_GB2312" w:hAnsi="仿宋" w:eastAsia="仿宋_GB2312" w:cs="仿宋"/>
                <w:sz w:val="24"/>
                <w:lang w:val="en-US" w:eastAsia="zh-CN"/>
              </w:rPr>
              <w:t>优秀教育工作者</w:t>
            </w:r>
          </w:p>
        </w:tc>
        <w:tc>
          <w:tcPr>
            <w:tcW w:w="3450" w:type="dxa"/>
            <w:gridSpan w:val="5"/>
            <w:shd w:val="clear" w:color="auto" w:fill="auto"/>
            <w:noWrap w:val="0"/>
            <w:vAlign w:val="top"/>
          </w:tcPr>
          <w:p w14:paraId="41785024">
            <w:pPr>
              <w:jc w:val="center"/>
              <w:rPr>
                <w:rFonts w:hint="eastAsia" w:ascii="仿宋_GB2312" w:hAnsi="仿宋" w:eastAsia="仿宋_GB2312" w:cs="仿宋"/>
                <w:sz w:val="24"/>
                <w:lang w:eastAsia="zh-CN"/>
              </w:rPr>
            </w:pPr>
            <w:r>
              <w:rPr>
                <w:rFonts w:hint="eastAsia" w:ascii="仿宋_GB2312" w:hAnsi="仿宋" w:eastAsia="仿宋_GB2312" w:cs="仿宋"/>
                <w:sz w:val="24"/>
                <w:lang w:eastAsia="zh-CN"/>
              </w:rPr>
              <w:t>海安市教育体育局</w:t>
            </w:r>
          </w:p>
        </w:tc>
        <w:tc>
          <w:tcPr>
            <w:tcW w:w="2125" w:type="dxa"/>
            <w:shd w:val="clear" w:color="auto" w:fill="auto"/>
            <w:noWrap w:val="0"/>
            <w:vAlign w:val="top"/>
          </w:tcPr>
          <w:p w14:paraId="6159B206">
            <w:pPr>
              <w:jc w:val="center"/>
              <w:rPr>
                <w:rFonts w:hint="default" w:ascii="仿宋_GB2312" w:hAnsi="仿宋" w:eastAsia="仿宋_GB2312" w:cs="仿宋"/>
                <w:sz w:val="24"/>
                <w:lang w:val="en-US" w:eastAsia="zh-CN"/>
              </w:rPr>
            </w:pPr>
            <w:r>
              <w:rPr>
                <w:rFonts w:hint="eastAsia" w:ascii="仿宋_GB2312" w:hAnsi="仿宋" w:eastAsia="仿宋_GB2312" w:cs="仿宋"/>
                <w:sz w:val="24"/>
                <w:lang w:val="en-US" w:eastAsia="zh-CN"/>
              </w:rPr>
              <w:t>2019.04</w:t>
            </w:r>
          </w:p>
        </w:tc>
      </w:tr>
      <w:tr w14:paraId="559AE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1" w:type="dxa"/>
            <w:gridSpan w:val="3"/>
            <w:shd w:val="clear" w:color="auto" w:fill="auto"/>
            <w:noWrap w:val="0"/>
            <w:vAlign w:val="top"/>
          </w:tcPr>
          <w:p w14:paraId="4B6582C5">
            <w:pPr>
              <w:jc w:val="center"/>
              <w:rPr>
                <w:rFonts w:hint="eastAsia" w:ascii="仿宋_GB2312" w:hAnsi="仿宋" w:eastAsia="仿宋_GB2312" w:cs="仿宋"/>
                <w:sz w:val="24"/>
                <w:lang w:eastAsia="zh-CN"/>
              </w:rPr>
            </w:pPr>
            <w:r>
              <w:rPr>
                <w:rFonts w:hint="eastAsia" w:ascii="仿宋_GB2312" w:hAnsi="仿宋" w:eastAsia="仿宋_GB2312" w:cs="仿宋"/>
                <w:sz w:val="24"/>
                <w:lang w:eastAsia="zh-CN"/>
              </w:rPr>
              <w:t>优秀班主任</w:t>
            </w:r>
          </w:p>
        </w:tc>
        <w:tc>
          <w:tcPr>
            <w:tcW w:w="3450" w:type="dxa"/>
            <w:gridSpan w:val="5"/>
            <w:shd w:val="clear" w:color="auto" w:fill="auto"/>
            <w:noWrap w:val="0"/>
            <w:vAlign w:val="top"/>
          </w:tcPr>
          <w:p w14:paraId="7AE15819">
            <w:pPr>
              <w:jc w:val="center"/>
              <w:rPr>
                <w:rFonts w:hint="eastAsia" w:ascii="仿宋_GB2312" w:hAnsi="仿宋" w:eastAsia="仿宋_GB2312" w:cs="仿宋"/>
                <w:sz w:val="24"/>
                <w:lang w:eastAsia="zh-CN"/>
              </w:rPr>
            </w:pPr>
            <w:r>
              <w:rPr>
                <w:rFonts w:hint="eastAsia" w:ascii="仿宋_GB2312" w:hAnsi="仿宋" w:eastAsia="仿宋_GB2312" w:cs="仿宋"/>
                <w:sz w:val="24"/>
                <w:lang w:eastAsia="zh-CN"/>
              </w:rPr>
              <w:t>江苏省海安高级中学</w:t>
            </w:r>
          </w:p>
        </w:tc>
        <w:tc>
          <w:tcPr>
            <w:tcW w:w="2125" w:type="dxa"/>
            <w:shd w:val="clear" w:color="auto" w:fill="auto"/>
            <w:noWrap w:val="0"/>
            <w:vAlign w:val="top"/>
          </w:tcPr>
          <w:p w14:paraId="6F69FE0E">
            <w:pPr>
              <w:jc w:val="center"/>
              <w:rPr>
                <w:rFonts w:hint="default" w:ascii="仿宋_GB2312" w:hAnsi="仿宋" w:eastAsia="仿宋_GB2312" w:cs="仿宋"/>
                <w:sz w:val="24"/>
                <w:lang w:val="en-US" w:eastAsia="zh-CN"/>
              </w:rPr>
            </w:pPr>
            <w:r>
              <w:rPr>
                <w:rFonts w:hint="eastAsia" w:ascii="仿宋_GB2312" w:hAnsi="仿宋" w:eastAsia="仿宋_GB2312" w:cs="仿宋"/>
                <w:sz w:val="24"/>
                <w:lang w:val="en-US" w:eastAsia="zh-CN"/>
              </w:rPr>
              <w:t>2018.09</w:t>
            </w:r>
          </w:p>
        </w:tc>
      </w:tr>
      <w:tr w14:paraId="0C56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1" w:type="dxa"/>
            <w:gridSpan w:val="3"/>
            <w:shd w:val="clear" w:color="auto" w:fill="auto"/>
            <w:noWrap w:val="0"/>
            <w:vAlign w:val="top"/>
          </w:tcPr>
          <w:p w14:paraId="3736F6E1">
            <w:pPr>
              <w:rPr>
                <w:rFonts w:hint="eastAsia" w:ascii="仿宋_GB2312" w:hAnsi="仿宋" w:eastAsia="仿宋_GB2312" w:cs="仿宋"/>
                <w:sz w:val="24"/>
              </w:rPr>
            </w:pPr>
            <w:r>
              <w:rPr>
                <w:rFonts w:hint="eastAsia" w:ascii="仿宋_GB2312" w:hAnsi="仿宋" w:eastAsia="仿宋_GB2312" w:cs="仿宋"/>
                <w:sz w:val="24"/>
              </w:rPr>
              <w:t>师德师风方面处分记录</w:t>
            </w:r>
          </w:p>
        </w:tc>
        <w:tc>
          <w:tcPr>
            <w:tcW w:w="5575" w:type="dxa"/>
            <w:gridSpan w:val="6"/>
            <w:shd w:val="clear" w:color="auto" w:fill="auto"/>
            <w:noWrap w:val="0"/>
            <w:vAlign w:val="top"/>
          </w:tcPr>
          <w:p w14:paraId="272E5025">
            <w:pPr>
              <w:jc w:val="center"/>
              <w:rPr>
                <w:rFonts w:hint="eastAsia" w:ascii="仿宋_GB2312" w:hAnsi="仿宋" w:eastAsia="仿宋_GB2312" w:cs="仿宋"/>
                <w:sz w:val="24"/>
              </w:rPr>
            </w:pPr>
            <w:r>
              <w:rPr>
                <w:rFonts w:hint="eastAsia" w:ascii="仿宋_GB2312" w:hAnsi="仿宋" w:eastAsia="仿宋_GB2312" w:cs="仿宋"/>
                <w:sz w:val="24"/>
              </w:rPr>
              <w:t>无</w:t>
            </w:r>
          </w:p>
        </w:tc>
      </w:tr>
      <w:tr w14:paraId="61DF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9"/>
            <w:shd w:val="clear" w:color="auto" w:fill="auto"/>
            <w:noWrap w:val="0"/>
            <w:vAlign w:val="top"/>
          </w:tcPr>
          <w:p w14:paraId="0DE7433E">
            <w:pPr>
              <w:jc w:val="center"/>
              <w:rPr>
                <w:rFonts w:hint="eastAsia" w:ascii="仿宋_GB2312" w:hAnsi="仿宋" w:eastAsia="仿宋_GB2312" w:cs="仿宋"/>
                <w:sz w:val="24"/>
              </w:rPr>
            </w:pPr>
            <w:r>
              <w:rPr>
                <w:rFonts w:hint="eastAsia" w:ascii="仿宋_GB2312" w:hAnsi="仿宋" w:eastAsia="仿宋_GB2312" w:cs="仿宋"/>
                <w:sz w:val="24"/>
              </w:rPr>
              <w:t>近五年育人事迹小结（1000字左右）</w:t>
            </w:r>
          </w:p>
        </w:tc>
      </w:tr>
      <w:tr w14:paraId="3D3F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9" w:hRule="atLeast"/>
        </w:trPr>
        <w:tc>
          <w:tcPr>
            <w:tcW w:w="8296" w:type="dxa"/>
            <w:gridSpan w:val="9"/>
            <w:shd w:val="clear" w:color="auto" w:fill="auto"/>
            <w:noWrap w:val="0"/>
            <w:vAlign w:val="top"/>
          </w:tcPr>
          <w:p w14:paraId="543443B2">
            <w:pPr>
              <w:rPr>
                <w:rFonts w:hint="eastAsia" w:ascii="仿宋_GB2312" w:hAnsi="仿宋" w:eastAsia="仿宋_GB2312" w:cs="仿宋"/>
                <w:sz w:val="24"/>
              </w:rPr>
            </w:pPr>
          </w:p>
          <w:p w14:paraId="5A665621">
            <w:pPr>
              <w:ind w:firstLine="360" w:firstLineChars="200"/>
              <w:rPr>
                <w:rFonts w:ascii="仿宋_GB2312" w:eastAsia="仿宋_GB2312"/>
                <w:sz w:val="18"/>
                <w:szCs w:val="18"/>
              </w:rPr>
            </w:pPr>
            <w:r>
              <w:rPr>
                <w:rFonts w:hint="eastAsia" w:ascii="仿宋_GB2312" w:eastAsia="仿宋_GB2312"/>
                <w:sz w:val="18"/>
                <w:szCs w:val="18"/>
              </w:rPr>
              <w:t>作为一名高中教师，我深知自己肩负的不仅是传授知识的重任，更肩负着塑造学生心灵、引导他们成长的崇高使命。回望过去的教学生涯，我深感荣幸能够陪伴一届届学生们走过这段既充满挑战又蕴含成长的旅程。</w:t>
            </w:r>
          </w:p>
          <w:p w14:paraId="34CE66A1">
            <w:pPr>
              <w:ind w:firstLine="361" w:firstLineChars="200"/>
              <w:rPr>
                <w:rFonts w:hint="eastAsia" w:ascii="黑体" w:hAnsi="黑体" w:eastAsia="黑体"/>
                <w:b/>
                <w:bCs/>
                <w:sz w:val="18"/>
                <w:szCs w:val="18"/>
              </w:rPr>
            </w:pPr>
            <w:r>
              <w:rPr>
                <w:rFonts w:hint="eastAsia" w:ascii="黑体" w:hAnsi="黑体" w:eastAsia="黑体"/>
                <w:b/>
                <w:bCs/>
                <w:sz w:val="18"/>
                <w:szCs w:val="18"/>
              </w:rPr>
              <w:t>一、以心换心，建立信任</w:t>
            </w:r>
          </w:p>
          <w:p w14:paraId="0885F0BB">
            <w:pPr>
              <w:ind w:firstLine="360" w:firstLineChars="200"/>
              <w:rPr>
                <w:rFonts w:ascii="仿宋_GB2312" w:eastAsia="仿宋_GB2312"/>
                <w:sz w:val="18"/>
                <w:szCs w:val="18"/>
              </w:rPr>
            </w:pPr>
            <w:r>
              <w:rPr>
                <w:rFonts w:hint="eastAsia" w:ascii="仿宋_GB2312" w:eastAsia="仿宋_GB2312"/>
                <w:sz w:val="18"/>
                <w:szCs w:val="18"/>
              </w:rPr>
              <w:t>我深信，教育的基石在于信任。我坚持阅读心理学、教育学等方面的著作，力求拉近与学生的心理距离，公正善待每一位学生。通过日常的关怀与交流，让他们感受到我的真诚与关爱。无论是学业上的迷茫还是生活中的困扰，我都愿意倾听他们的声音，给予他们必要的支持与鼓励。要求学生做到的，我自己必先践行，用言行为学生树立榜样，用人格魅力去感染和影响他们。无论是路遇垃圾主动捡起，还是主题班会与学生共商，这些小事都如春风化雨，默默滋养着学生的品行。</w:t>
            </w:r>
          </w:p>
          <w:p w14:paraId="17FB061D">
            <w:pPr>
              <w:ind w:firstLine="360" w:firstLineChars="200"/>
              <w:rPr>
                <w:rFonts w:ascii="仿宋_GB2312" w:eastAsia="仿宋_GB2312"/>
                <w:sz w:val="18"/>
                <w:szCs w:val="18"/>
              </w:rPr>
            </w:pPr>
            <w:r>
              <w:rPr>
                <w:rFonts w:hint="eastAsia" w:ascii="仿宋_GB2312" w:eastAsia="仿宋_GB2312"/>
                <w:sz w:val="18"/>
                <w:szCs w:val="18"/>
              </w:rPr>
              <w:t>2023年，我担任班主任的班上有一个特别的学生李某亮。他调皮捣蛋，对学习毫无兴趣，任课老师们对此几乎束手无策。经过深入调查，我发现他父母离异，生活与学习长期无人照料，孩子自暴自弃，形成了自由散漫、不求上进的习惯。了解情况后，我寻找恰当契机与他进行了多次真诚的沟通，帮助他重拾自信，消除自卑。同时，我与其他任课老师紧密合作，共同伸出援手，让他真切感受到老师们的尊重与关怀。这种以心换心的交流方式，让李某亮发生了显著的变化，他开始信任我、尊重我，并逐渐展现出积极向上的学习态度。在期末统测中，李某亮进步268个名次，进步幅度位列全校第11名。</w:t>
            </w:r>
          </w:p>
          <w:p w14:paraId="659E9495">
            <w:pPr>
              <w:ind w:firstLine="361" w:firstLineChars="200"/>
              <w:rPr>
                <w:rFonts w:hint="eastAsia" w:ascii="黑体" w:hAnsi="黑体" w:eastAsia="黑体"/>
                <w:b/>
                <w:bCs/>
                <w:sz w:val="18"/>
                <w:szCs w:val="18"/>
              </w:rPr>
            </w:pPr>
            <w:r>
              <w:rPr>
                <w:rFonts w:hint="eastAsia" w:ascii="黑体" w:hAnsi="黑体" w:eastAsia="黑体"/>
                <w:b/>
                <w:bCs/>
                <w:sz w:val="18"/>
                <w:szCs w:val="18"/>
              </w:rPr>
              <w:t>二、因材施教，激发潜能</w:t>
            </w:r>
          </w:p>
          <w:p w14:paraId="4161A1AB">
            <w:pPr>
              <w:ind w:firstLine="360" w:firstLineChars="200"/>
              <w:rPr>
                <w:rFonts w:ascii="仿宋_GB2312" w:eastAsia="仿宋_GB2312"/>
                <w:sz w:val="18"/>
                <w:szCs w:val="18"/>
              </w:rPr>
            </w:pPr>
            <w:r>
              <w:rPr>
                <w:rFonts w:hint="eastAsia" w:ascii="仿宋_GB2312" w:eastAsia="仿宋_GB2312"/>
                <w:sz w:val="18"/>
                <w:szCs w:val="18"/>
              </w:rPr>
              <w:t>我深知，每个学生都是独一无二的，他们拥有各自的兴趣爱好、学习方式和潜力。因此我注重分析每个学生的特点，采用多样化的教学方法和手段，营造一种平等和谐、活跃有序的课堂氛围，以满足不同学生的需求，力求让每个学生都能有所收获。对于基础薄弱的学生，我给予更多的耐心与辅导，帮助他们夯实基础；对于学有余力的学生，我则鼓励他们深入探究、拓展视野，进一步提升自我。</w:t>
            </w:r>
          </w:p>
          <w:p w14:paraId="0CCCAC5E">
            <w:pPr>
              <w:ind w:firstLine="360" w:firstLineChars="200"/>
              <w:rPr>
                <w:rFonts w:hint="eastAsia" w:ascii="仿宋_GB2312" w:eastAsia="仿宋_GB2312"/>
                <w:sz w:val="18"/>
                <w:szCs w:val="18"/>
              </w:rPr>
            </w:pPr>
            <w:r>
              <w:rPr>
                <w:rFonts w:hint="eastAsia" w:ascii="仿宋_GB2312" w:eastAsia="仿宋_GB2312"/>
                <w:sz w:val="18"/>
                <w:szCs w:val="18"/>
              </w:rPr>
              <w:t>通过因材施教，学生们的潜能被逐渐激发出来，他们在学业上取得了显著的进步。以最近一届我所带的高二（5）班为例，期末统测中，21名学生相较于进班时，年级进步幅度超过50名，其中赵蕊同学进步了379个名次，成为全校进步幅度最大的学生；郜梓铭同学也进步了302个名次，位列全校第五。这些令人瞩目的进步，正是因材施教、注重个体差异教学理念的生动体现，也让我更加坚信，只有深入了解每一个学生，才能选择恰当的方法，助力他们茁壮成长。</w:t>
            </w:r>
          </w:p>
          <w:p w14:paraId="68AE3192">
            <w:pPr>
              <w:ind w:firstLine="360" w:firstLineChars="200"/>
              <w:rPr>
                <w:rFonts w:hint="eastAsia" w:ascii="仿宋_GB2312" w:eastAsia="仿宋_GB2312"/>
                <w:sz w:val="18"/>
                <w:szCs w:val="18"/>
              </w:rPr>
            </w:pPr>
            <w:r>
              <w:rPr>
                <w:rFonts w:hint="eastAsia" w:ascii="仿宋_GB2312" w:eastAsia="仿宋_GB2312"/>
                <w:sz w:val="18"/>
                <w:szCs w:val="18"/>
                <w:lang w:eastAsia="zh-CN"/>
              </w:rPr>
              <w:drawing>
                <wp:inline distT="0" distB="0" distL="114300" distR="114300">
                  <wp:extent cx="535940" cy="1163320"/>
                  <wp:effectExtent l="0" t="0" r="16510" b="17780"/>
                  <wp:docPr id="9" name="图片 9" descr="cebc4fed96c805ff0a82bf640bb1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ebc4fed96c805ff0a82bf640bb1e1a"/>
                          <pic:cNvPicPr>
                            <a:picLocks noChangeAspect="1"/>
                          </pic:cNvPicPr>
                        </pic:nvPicPr>
                        <pic:blipFill>
                          <a:blip r:embed="rId5"/>
                          <a:stretch>
                            <a:fillRect/>
                          </a:stretch>
                        </pic:blipFill>
                        <pic:spPr>
                          <a:xfrm>
                            <a:off x="0" y="0"/>
                            <a:ext cx="535940" cy="1163320"/>
                          </a:xfrm>
                          <a:prstGeom prst="rect">
                            <a:avLst/>
                          </a:prstGeom>
                        </pic:spPr>
                      </pic:pic>
                    </a:graphicData>
                  </a:graphic>
                </wp:inline>
              </w:drawing>
            </w:r>
            <w:r>
              <w:rPr>
                <w:rFonts w:hint="eastAsia" w:ascii="仿宋_GB2312" w:eastAsia="仿宋_GB2312"/>
                <w:sz w:val="18"/>
                <w:szCs w:val="18"/>
                <w:lang w:eastAsia="zh-CN"/>
              </w:rPr>
              <w:drawing>
                <wp:anchor distT="0" distB="0" distL="114300" distR="114300" simplePos="0" relativeHeight="251659264" behindDoc="0" locked="0" layoutInCell="1" allowOverlap="1">
                  <wp:simplePos x="0" y="0"/>
                  <wp:positionH relativeFrom="column">
                    <wp:posOffset>15240</wp:posOffset>
                  </wp:positionH>
                  <wp:positionV relativeFrom="paragraph">
                    <wp:posOffset>3175</wp:posOffset>
                  </wp:positionV>
                  <wp:extent cx="2892425" cy="1265555"/>
                  <wp:effectExtent l="0" t="0" r="3175" b="10795"/>
                  <wp:wrapSquare wrapText="bothSides"/>
                  <wp:docPr id="10" name="图片 10" descr="172213156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22131561939"/>
                          <pic:cNvPicPr>
                            <a:picLocks noChangeAspect="1"/>
                          </pic:cNvPicPr>
                        </pic:nvPicPr>
                        <pic:blipFill>
                          <a:blip r:embed="rId6"/>
                          <a:stretch>
                            <a:fillRect/>
                          </a:stretch>
                        </pic:blipFill>
                        <pic:spPr>
                          <a:xfrm>
                            <a:off x="0" y="0"/>
                            <a:ext cx="2892425" cy="1265555"/>
                          </a:xfrm>
                          <a:prstGeom prst="rect">
                            <a:avLst/>
                          </a:prstGeom>
                        </pic:spPr>
                      </pic:pic>
                    </a:graphicData>
                  </a:graphic>
                </wp:anchor>
              </w:drawing>
            </w:r>
          </w:p>
          <w:p w14:paraId="4C179460">
            <w:pPr>
              <w:ind w:firstLine="360" w:firstLineChars="200"/>
              <w:rPr>
                <w:rFonts w:hint="eastAsia" w:ascii="仿宋_GB2312" w:eastAsia="仿宋_GB2312"/>
                <w:sz w:val="18"/>
                <w:szCs w:val="18"/>
                <w:lang w:eastAsia="zh-CN"/>
              </w:rPr>
            </w:pPr>
          </w:p>
          <w:p w14:paraId="7C1C5E58">
            <w:pPr>
              <w:ind w:firstLine="361" w:firstLineChars="200"/>
              <w:rPr>
                <w:rFonts w:hint="eastAsia" w:ascii="黑体" w:hAnsi="黑体" w:eastAsia="黑体"/>
                <w:b/>
                <w:bCs/>
                <w:sz w:val="18"/>
                <w:szCs w:val="18"/>
              </w:rPr>
            </w:pPr>
            <w:r>
              <w:rPr>
                <w:rFonts w:hint="eastAsia" w:ascii="黑体" w:hAnsi="黑体" w:eastAsia="黑体"/>
                <w:b/>
                <w:bCs/>
                <w:sz w:val="18"/>
                <w:szCs w:val="18"/>
              </w:rPr>
              <w:t>三、关注心灵，引导成长</w:t>
            </w:r>
          </w:p>
          <w:p w14:paraId="4F4566CD">
            <w:pPr>
              <w:ind w:firstLine="360" w:firstLineChars="200"/>
              <w:rPr>
                <w:rFonts w:ascii="仿宋_GB2312" w:eastAsia="仿宋_GB2312"/>
                <w:sz w:val="18"/>
                <w:szCs w:val="18"/>
              </w:rPr>
            </w:pPr>
            <w:r>
              <w:rPr>
                <w:rFonts w:hint="eastAsia" w:ascii="仿宋_GB2312" w:eastAsia="仿宋_GB2312"/>
                <w:sz w:val="18"/>
                <w:szCs w:val="18"/>
              </w:rPr>
              <w:t>高中阶段，既是学生成长的关键时期，也是他们面临诸多挑战的时期。我时刻关注学生的心理健康，致力于营造温馨、包容的班级氛围。当学生遭遇挫折，我及时给予安慰与鼓励；当他们取得佳绩，我由衷地为他们感到骄傲与高兴。同时，我也注重培养学生的品格素养和社会责任感，引导他们树立正确的价值观和人生观。</w:t>
            </w:r>
          </w:p>
          <w:p w14:paraId="50CC3DCF">
            <w:pPr>
              <w:ind w:firstLine="360" w:firstLineChars="200"/>
              <w:rPr>
                <w:rFonts w:ascii="仿宋_GB2312" w:eastAsia="仿宋_GB2312"/>
                <w:sz w:val="18"/>
                <w:szCs w:val="18"/>
              </w:rPr>
            </w:pPr>
            <w:r>
              <w:rPr>
                <w:rFonts w:hint="eastAsia" w:ascii="仿宋_GB2312" w:eastAsia="仿宋_GB2312"/>
                <w:sz w:val="18"/>
                <w:szCs w:val="18"/>
              </w:rPr>
              <w:t>每学期初，我都会抽出时间与每一位学生深入谈心，并做好详细的工作笔记。对于“问题”学生，我更是进行细致入微的了解，寻找他们身上的闪光点，以此作为教育的切入点。在日常与学生的交往中，我秉持友好、平等的态度，特别是对待后进生，我用爱心、耐心和信心去激励他们发挥自身优势。我还经常组织他们感兴趣的活动，让他们在活动中发现自我价值，正确认识自我，并感受到老师的关心与期待。每当看到他们取得进步，我的内心便涌动着一种难以言表的幸福情感。这种改变，不仅体现在他们的学业上，更体现在他们自信、积极的面貌上。</w:t>
            </w:r>
          </w:p>
          <w:p w14:paraId="5AF87806">
            <w:pPr>
              <w:ind w:firstLine="361" w:firstLineChars="200"/>
              <w:rPr>
                <w:rFonts w:hint="eastAsia" w:ascii="黑体" w:hAnsi="黑体" w:eastAsia="黑体"/>
                <w:b/>
                <w:bCs/>
                <w:sz w:val="18"/>
                <w:szCs w:val="18"/>
              </w:rPr>
            </w:pPr>
            <w:r>
              <w:rPr>
                <w:rFonts w:hint="eastAsia" w:ascii="黑体" w:hAnsi="黑体" w:eastAsia="黑体"/>
                <w:b/>
                <w:bCs/>
                <w:sz w:val="18"/>
                <w:szCs w:val="18"/>
              </w:rPr>
              <w:t>四、终身学习，追求卓越</w:t>
            </w:r>
          </w:p>
          <w:p w14:paraId="3D274385">
            <w:pPr>
              <w:ind w:firstLine="360" w:firstLineChars="200"/>
              <w:rPr>
                <w:rFonts w:hint="eastAsia" w:ascii="仿宋_GB2312" w:eastAsia="仿宋_GB2312"/>
                <w:sz w:val="18"/>
                <w:szCs w:val="18"/>
              </w:rPr>
            </w:pPr>
            <w:r>
              <w:rPr>
                <w:rFonts w:hint="eastAsia" w:ascii="仿宋_GB2312" w:eastAsia="仿宋_GB2312"/>
                <w:sz w:val="18"/>
                <w:szCs w:val="18"/>
              </w:rPr>
              <w:t>作为一名教师，我深知终身学习的重要性。因此，我积极参与各种教育培训和学术交流活动，不断提升自己的专业素养和教学能力。我紧跟教育前沿动态，勇于尝试新的教学方法和手段，力求让课堂更加生动有趣、富有成效。同时，我也注重反思教学实践，总结经验教训，不断追求卓越的教学品质。</w:t>
            </w:r>
          </w:p>
          <w:p w14:paraId="4C997402">
            <w:pPr>
              <w:ind w:firstLine="360" w:firstLineChars="200"/>
              <w:rPr>
                <w:rFonts w:ascii="仿宋_GB2312" w:eastAsia="仿宋_GB2312"/>
                <w:sz w:val="18"/>
                <w:szCs w:val="18"/>
              </w:rPr>
            </w:pPr>
            <w:r>
              <w:rPr>
                <w:rFonts w:hint="eastAsia" w:ascii="仿宋_GB2312" w:eastAsia="仿宋_GB2312"/>
                <w:sz w:val="18"/>
                <w:szCs w:val="18"/>
              </w:rPr>
              <w:t>我的努力也得到了认可，先后荣获南通市青年教师基本功大赛二等奖、海安市高中数学教师基本功比赛一等奖、海安市中小学管理人员教学素养比赛教学设计一等奖、海安市优秀教育工作者、海安市优秀班主任等荣誉。此外，我还在《中学数学》等刊物发表论文4篇，多次为省内外教师开设公开课。</w:t>
            </w:r>
          </w:p>
          <w:p w14:paraId="0FC837D4">
            <w:pPr>
              <w:ind w:firstLine="360" w:firstLineChars="200"/>
              <w:rPr>
                <w:rFonts w:hint="eastAsia" w:ascii="仿宋_GB2312" w:eastAsia="仿宋_GB2312"/>
                <w:sz w:val="18"/>
                <w:szCs w:val="18"/>
              </w:rPr>
            </w:pPr>
            <w:r>
              <w:rPr>
                <w:rFonts w:hint="eastAsia" w:ascii="仿宋_GB2312" w:eastAsia="仿宋_GB2312"/>
                <w:sz w:val="18"/>
                <w:szCs w:val="18"/>
              </w:rPr>
              <w:t>总之，作为一名人类灵魂的工程师，我深感责任重大，使命光荣。我将继续怀揣满腔的热情和坚定的信念，致力于点燃红烛般的教育事业，一路放歌，勤修师德。用爱心扬起学生未来理想的风帆，为学生的成长和发展贡献自己的力量，再创辉煌业绩，书写教育新篇章！</w:t>
            </w:r>
          </w:p>
          <w:p w14:paraId="4CB58C62">
            <w:pPr>
              <w:rPr>
                <w:rFonts w:hint="eastAsia" w:ascii="仿宋_GB2312" w:hAnsi="仿宋" w:eastAsia="仿宋_GB2312" w:cs="仿宋"/>
                <w:sz w:val="24"/>
              </w:rPr>
            </w:pPr>
          </w:p>
        </w:tc>
      </w:tr>
      <w:tr w14:paraId="1113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 w:hRule="atLeast"/>
        </w:trPr>
        <w:tc>
          <w:tcPr>
            <w:tcW w:w="8296" w:type="dxa"/>
            <w:gridSpan w:val="9"/>
            <w:shd w:val="clear" w:color="auto" w:fill="auto"/>
            <w:noWrap w:val="0"/>
            <w:vAlign w:val="top"/>
          </w:tcPr>
          <w:p w14:paraId="4C255255">
            <w:pPr>
              <w:rPr>
                <w:rFonts w:hint="eastAsia" w:ascii="仿宋_GB2312" w:hAnsi="仿宋" w:eastAsia="仿宋_GB2312" w:cs="仿宋"/>
                <w:sz w:val="24"/>
              </w:rPr>
            </w:pPr>
            <w:r>
              <w:rPr>
                <w:rFonts w:hint="eastAsia" w:ascii="仿宋_GB2312" w:hAnsi="仿宋" w:eastAsia="仿宋_GB2312" w:cs="仿宋"/>
                <w:sz w:val="24"/>
              </w:rPr>
              <w:t>本人对育人事迹真实性承诺：</w:t>
            </w:r>
          </w:p>
          <w:p w14:paraId="10A94E4C">
            <w:pPr>
              <w:rPr>
                <w:rFonts w:hint="eastAsia" w:ascii="仿宋_GB2312" w:hAnsi="仿宋" w:eastAsia="仿宋_GB2312" w:cs="仿宋"/>
                <w:sz w:val="24"/>
              </w:rPr>
            </w:pPr>
          </w:p>
          <w:p w14:paraId="53EDFB2F">
            <w:pPr>
              <w:jc w:val="center"/>
              <w:rPr>
                <w:rFonts w:hint="eastAsia" w:ascii="仿宋_GB2312" w:hAnsi="仿宋" w:eastAsia="仿宋_GB2312" w:cs="仿宋"/>
                <w:sz w:val="24"/>
              </w:rPr>
            </w:pPr>
            <w:r>
              <w:rPr>
                <w:rFonts w:hint="eastAsia" w:ascii="仿宋_GB2312" w:hAnsi="仿宋" w:eastAsia="仿宋_GB2312" w:cs="仿宋"/>
                <w:sz w:val="24"/>
              </w:rPr>
              <w:t xml:space="preserve">                                  </w:t>
            </w:r>
            <w:r>
              <w:rPr>
                <w:rFonts w:hint="eastAsia" w:ascii="仿宋_GB2312" w:hAnsi="仿宋" w:eastAsia="仿宋_GB2312" w:cs="仿宋"/>
                <w:sz w:val="24"/>
                <w:lang w:val="en-US" w:eastAsia="zh-CN"/>
              </w:rPr>
              <w:t xml:space="preserve">  </w:t>
            </w:r>
            <w:r>
              <w:rPr>
                <w:rFonts w:hint="eastAsia" w:ascii="仿宋_GB2312" w:hAnsi="仿宋" w:eastAsia="仿宋_GB2312" w:cs="仿宋"/>
                <w:sz w:val="24"/>
              </w:rPr>
              <w:t xml:space="preserve">   签名：</w:t>
            </w:r>
          </w:p>
          <w:p w14:paraId="471B4B2D">
            <w:pPr>
              <w:jc w:val="center"/>
              <w:rPr>
                <w:rFonts w:hint="eastAsia" w:ascii="仿宋_GB2312" w:hAnsi="仿宋" w:eastAsia="仿宋_GB2312" w:cs="仿宋"/>
                <w:sz w:val="24"/>
              </w:rPr>
            </w:pPr>
          </w:p>
        </w:tc>
      </w:tr>
      <w:tr w14:paraId="7C17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96" w:type="dxa"/>
            <w:gridSpan w:val="9"/>
            <w:shd w:val="clear" w:color="auto" w:fill="auto"/>
            <w:noWrap w:val="0"/>
            <w:vAlign w:val="top"/>
          </w:tcPr>
          <w:p w14:paraId="21286ABF">
            <w:pPr>
              <w:jc w:val="center"/>
              <w:rPr>
                <w:rFonts w:hint="eastAsia" w:ascii="仿宋_GB2312" w:hAnsi="仿宋" w:eastAsia="仿宋_GB2312" w:cs="仿宋"/>
                <w:sz w:val="24"/>
              </w:rPr>
            </w:pPr>
            <w:r>
              <w:rPr>
                <w:rFonts w:hint="eastAsia" w:ascii="仿宋_GB2312" w:hAnsi="仿宋" w:eastAsia="仿宋_GB2312" w:cs="仿宋"/>
                <w:b/>
                <w:bCs/>
                <w:sz w:val="24"/>
              </w:rPr>
              <w:t>以下内容由学校填写</w:t>
            </w:r>
          </w:p>
        </w:tc>
      </w:tr>
      <w:tr w14:paraId="0089C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296" w:type="dxa"/>
            <w:gridSpan w:val="9"/>
            <w:shd w:val="clear" w:color="auto" w:fill="auto"/>
            <w:noWrap w:val="0"/>
            <w:vAlign w:val="top"/>
          </w:tcPr>
          <w:p w14:paraId="112DDC64">
            <w:pPr>
              <w:jc w:val="center"/>
              <w:rPr>
                <w:rFonts w:hint="eastAsia" w:ascii="仿宋_GB2312" w:hAnsi="仿宋" w:eastAsia="仿宋_GB2312" w:cs="仿宋"/>
                <w:sz w:val="24"/>
              </w:rPr>
            </w:pPr>
            <w:r>
              <w:rPr>
                <w:rFonts w:hint="eastAsia" w:ascii="仿宋_GB2312" w:hAnsi="仿宋" w:eastAsia="仿宋_GB2312" w:cs="仿宋"/>
                <w:sz w:val="24"/>
              </w:rPr>
              <w:t>师德评议情况</w:t>
            </w:r>
          </w:p>
        </w:tc>
      </w:tr>
      <w:tr w14:paraId="4315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103" w:type="dxa"/>
            <w:gridSpan w:val="2"/>
            <w:shd w:val="clear" w:color="auto" w:fill="auto"/>
            <w:noWrap w:val="0"/>
            <w:vAlign w:val="top"/>
          </w:tcPr>
          <w:p w14:paraId="362CC77E">
            <w:pPr>
              <w:jc w:val="center"/>
              <w:rPr>
                <w:rFonts w:hint="eastAsia" w:ascii="仿宋_GB2312" w:hAnsi="仿宋" w:eastAsia="仿宋_GB2312" w:cs="仿宋"/>
                <w:sz w:val="24"/>
              </w:rPr>
            </w:pPr>
            <w:r>
              <w:rPr>
                <w:rFonts w:hint="eastAsia" w:ascii="仿宋_GB2312" w:hAnsi="仿宋" w:eastAsia="仿宋_GB2312" w:cs="仿宋"/>
                <w:sz w:val="24"/>
              </w:rPr>
              <w:t>评议人员</w:t>
            </w:r>
          </w:p>
        </w:tc>
        <w:tc>
          <w:tcPr>
            <w:tcW w:w="1934" w:type="dxa"/>
            <w:gridSpan w:val="3"/>
            <w:shd w:val="clear" w:color="auto" w:fill="auto"/>
            <w:noWrap w:val="0"/>
            <w:vAlign w:val="top"/>
          </w:tcPr>
          <w:p w14:paraId="17AA41D9">
            <w:pPr>
              <w:jc w:val="center"/>
              <w:rPr>
                <w:rFonts w:hint="eastAsia" w:ascii="仿宋_GB2312" w:hAnsi="仿宋" w:eastAsia="仿宋_GB2312" w:cs="仿宋"/>
                <w:sz w:val="24"/>
              </w:rPr>
            </w:pPr>
            <w:r>
              <w:rPr>
                <w:rFonts w:hint="eastAsia" w:ascii="仿宋_GB2312" w:hAnsi="仿宋" w:eastAsia="仿宋_GB2312" w:cs="仿宋"/>
                <w:sz w:val="24"/>
              </w:rPr>
              <w:t>学生评议</w:t>
            </w:r>
          </w:p>
        </w:tc>
        <w:tc>
          <w:tcPr>
            <w:tcW w:w="1946" w:type="dxa"/>
            <w:gridSpan w:val="2"/>
            <w:shd w:val="clear" w:color="auto" w:fill="auto"/>
            <w:noWrap w:val="0"/>
            <w:vAlign w:val="top"/>
          </w:tcPr>
          <w:p w14:paraId="444B911C">
            <w:pPr>
              <w:jc w:val="center"/>
              <w:rPr>
                <w:rFonts w:hint="eastAsia" w:ascii="仿宋_GB2312" w:hAnsi="仿宋" w:eastAsia="仿宋_GB2312" w:cs="仿宋"/>
                <w:sz w:val="24"/>
              </w:rPr>
            </w:pPr>
            <w:r>
              <w:rPr>
                <w:rFonts w:hint="eastAsia" w:ascii="仿宋_GB2312" w:hAnsi="仿宋" w:eastAsia="仿宋_GB2312" w:cs="仿宋"/>
                <w:sz w:val="24"/>
              </w:rPr>
              <w:t>家长评议</w:t>
            </w:r>
          </w:p>
        </w:tc>
        <w:tc>
          <w:tcPr>
            <w:tcW w:w="2313" w:type="dxa"/>
            <w:gridSpan w:val="2"/>
            <w:shd w:val="clear" w:color="auto" w:fill="auto"/>
            <w:noWrap w:val="0"/>
            <w:vAlign w:val="top"/>
          </w:tcPr>
          <w:p w14:paraId="386F656A">
            <w:pPr>
              <w:jc w:val="center"/>
              <w:rPr>
                <w:rFonts w:hint="eastAsia" w:ascii="仿宋_GB2312" w:hAnsi="仿宋" w:eastAsia="仿宋_GB2312" w:cs="仿宋"/>
                <w:sz w:val="24"/>
              </w:rPr>
            </w:pPr>
            <w:r>
              <w:rPr>
                <w:rFonts w:hint="eastAsia" w:ascii="仿宋_GB2312" w:hAnsi="仿宋" w:eastAsia="仿宋_GB2312" w:cs="仿宋"/>
                <w:sz w:val="24"/>
              </w:rPr>
              <w:t>同事评议</w:t>
            </w:r>
          </w:p>
        </w:tc>
      </w:tr>
      <w:tr w14:paraId="111B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103" w:type="dxa"/>
            <w:gridSpan w:val="2"/>
            <w:shd w:val="clear" w:color="auto" w:fill="auto"/>
            <w:noWrap w:val="0"/>
            <w:vAlign w:val="top"/>
          </w:tcPr>
          <w:p w14:paraId="2F691D02">
            <w:pPr>
              <w:jc w:val="center"/>
              <w:rPr>
                <w:rFonts w:hint="eastAsia" w:ascii="仿宋_GB2312" w:hAnsi="仿宋" w:eastAsia="仿宋_GB2312" w:cs="仿宋"/>
                <w:sz w:val="24"/>
              </w:rPr>
            </w:pPr>
            <w:r>
              <w:rPr>
                <w:rFonts w:hint="eastAsia" w:ascii="仿宋_GB2312" w:hAnsi="仿宋" w:eastAsia="仿宋_GB2312" w:cs="仿宋"/>
                <w:sz w:val="24"/>
              </w:rPr>
              <w:t>评议人数</w:t>
            </w:r>
          </w:p>
        </w:tc>
        <w:tc>
          <w:tcPr>
            <w:tcW w:w="1934" w:type="dxa"/>
            <w:gridSpan w:val="3"/>
            <w:shd w:val="clear" w:color="auto" w:fill="auto"/>
            <w:noWrap w:val="0"/>
            <w:vAlign w:val="top"/>
          </w:tcPr>
          <w:p w14:paraId="50D67614">
            <w:pPr>
              <w:jc w:val="center"/>
              <w:rPr>
                <w:rFonts w:hint="eastAsia" w:ascii="仿宋_GB2312" w:hAnsi="仿宋" w:eastAsia="仿宋_GB2312" w:cs="仿宋"/>
                <w:sz w:val="24"/>
              </w:rPr>
            </w:pPr>
          </w:p>
        </w:tc>
        <w:tc>
          <w:tcPr>
            <w:tcW w:w="1946" w:type="dxa"/>
            <w:gridSpan w:val="2"/>
            <w:shd w:val="clear" w:color="auto" w:fill="auto"/>
            <w:noWrap w:val="0"/>
            <w:vAlign w:val="top"/>
          </w:tcPr>
          <w:p w14:paraId="761C67A9">
            <w:pPr>
              <w:jc w:val="center"/>
              <w:rPr>
                <w:rFonts w:hint="eastAsia" w:ascii="仿宋_GB2312" w:hAnsi="仿宋" w:eastAsia="仿宋_GB2312" w:cs="仿宋"/>
                <w:sz w:val="24"/>
              </w:rPr>
            </w:pPr>
          </w:p>
        </w:tc>
        <w:tc>
          <w:tcPr>
            <w:tcW w:w="2313" w:type="dxa"/>
            <w:gridSpan w:val="2"/>
            <w:shd w:val="clear" w:color="auto" w:fill="auto"/>
            <w:noWrap w:val="0"/>
            <w:vAlign w:val="top"/>
          </w:tcPr>
          <w:p w14:paraId="47A53DCF">
            <w:pPr>
              <w:jc w:val="center"/>
              <w:rPr>
                <w:rFonts w:hint="eastAsia" w:ascii="仿宋_GB2312" w:hAnsi="仿宋" w:eastAsia="仿宋_GB2312" w:cs="仿宋"/>
                <w:sz w:val="24"/>
              </w:rPr>
            </w:pPr>
          </w:p>
        </w:tc>
      </w:tr>
      <w:tr w14:paraId="60C4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103" w:type="dxa"/>
            <w:gridSpan w:val="2"/>
            <w:shd w:val="clear" w:color="auto" w:fill="auto"/>
            <w:noWrap w:val="0"/>
            <w:vAlign w:val="top"/>
          </w:tcPr>
          <w:p w14:paraId="4FDA30F1">
            <w:pPr>
              <w:jc w:val="center"/>
              <w:rPr>
                <w:rFonts w:hint="eastAsia" w:ascii="仿宋_GB2312" w:hAnsi="仿宋" w:eastAsia="仿宋_GB2312" w:cs="仿宋"/>
                <w:sz w:val="24"/>
              </w:rPr>
            </w:pPr>
            <w:r>
              <w:rPr>
                <w:rFonts w:hint="eastAsia" w:ascii="仿宋_GB2312" w:hAnsi="仿宋" w:eastAsia="仿宋_GB2312" w:cs="仿宋"/>
                <w:sz w:val="24"/>
              </w:rPr>
              <w:t>评议优秀率</w:t>
            </w:r>
          </w:p>
        </w:tc>
        <w:tc>
          <w:tcPr>
            <w:tcW w:w="1934" w:type="dxa"/>
            <w:gridSpan w:val="3"/>
            <w:shd w:val="clear" w:color="auto" w:fill="auto"/>
            <w:noWrap w:val="0"/>
            <w:vAlign w:val="top"/>
          </w:tcPr>
          <w:p w14:paraId="3F4B6CEF">
            <w:pPr>
              <w:jc w:val="center"/>
              <w:rPr>
                <w:rFonts w:hint="eastAsia" w:ascii="仿宋_GB2312" w:hAnsi="仿宋" w:eastAsia="仿宋_GB2312" w:cs="仿宋"/>
                <w:sz w:val="24"/>
              </w:rPr>
            </w:pPr>
          </w:p>
        </w:tc>
        <w:tc>
          <w:tcPr>
            <w:tcW w:w="1946" w:type="dxa"/>
            <w:gridSpan w:val="2"/>
            <w:shd w:val="clear" w:color="auto" w:fill="auto"/>
            <w:noWrap w:val="0"/>
            <w:vAlign w:val="top"/>
          </w:tcPr>
          <w:p w14:paraId="2B9847B8">
            <w:pPr>
              <w:jc w:val="center"/>
              <w:rPr>
                <w:rFonts w:hint="eastAsia" w:ascii="仿宋_GB2312" w:hAnsi="仿宋" w:eastAsia="仿宋_GB2312" w:cs="仿宋"/>
                <w:sz w:val="24"/>
              </w:rPr>
            </w:pPr>
          </w:p>
        </w:tc>
        <w:tc>
          <w:tcPr>
            <w:tcW w:w="2313" w:type="dxa"/>
            <w:gridSpan w:val="2"/>
            <w:shd w:val="clear" w:color="auto" w:fill="auto"/>
            <w:noWrap w:val="0"/>
            <w:vAlign w:val="top"/>
          </w:tcPr>
          <w:p w14:paraId="13CA8D0D">
            <w:pPr>
              <w:jc w:val="center"/>
              <w:rPr>
                <w:rFonts w:hint="eastAsia" w:ascii="仿宋_GB2312" w:hAnsi="仿宋" w:eastAsia="仿宋_GB2312" w:cs="仿宋"/>
                <w:sz w:val="24"/>
              </w:rPr>
            </w:pPr>
          </w:p>
        </w:tc>
      </w:tr>
      <w:tr w14:paraId="16CE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8296" w:type="dxa"/>
            <w:gridSpan w:val="9"/>
            <w:shd w:val="clear" w:color="auto" w:fill="auto"/>
            <w:noWrap w:val="0"/>
            <w:vAlign w:val="top"/>
          </w:tcPr>
          <w:p w14:paraId="2271B24C">
            <w:pPr>
              <w:jc w:val="center"/>
              <w:rPr>
                <w:rFonts w:hint="eastAsia" w:ascii="仿宋_GB2312" w:hAnsi="仿宋" w:eastAsia="仿宋_GB2312" w:cs="仿宋"/>
                <w:sz w:val="24"/>
              </w:rPr>
            </w:pPr>
            <w:r>
              <w:rPr>
                <w:rFonts w:hint="eastAsia" w:ascii="仿宋_GB2312" w:hAnsi="仿宋" w:eastAsia="仿宋_GB2312" w:cs="仿宋"/>
                <w:sz w:val="24"/>
              </w:rPr>
              <w:t>民意测评情况</w:t>
            </w:r>
          </w:p>
        </w:tc>
      </w:tr>
      <w:tr w14:paraId="71C7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103" w:type="dxa"/>
            <w:gridSpan w:val="2"/>
            <w:shd w:val="clear" w:color="auto" w:fill="auto"/>
            <w:noWrap w:val="0"/>
            <w:vAlign w:val="top"/>
          </w:tcPr>
          <w:p w14:paraId="1D9DD0AF">
            <w:pPr>
              <w:jc w:val="center"/>
              <w:rPr>
                <w:rFonts w:hint="eastAsia" w:ascii="仿宋_GB2312" w:hAnsi="仿宋" w:eastAsia="仿宋_GB2312" w:cs="仿宋"/>
                <w:sz w:val="24"/>
              </w:rPr>
            </w:pPr>
            <w:r>
              <w:rPr>
                <w:rFonts w:hint="eastAsia" w:ascii="仿宋_GB2312" w:hAnsi="仿宋" w:eastAsia="仿宋_GB2312" w:cs="仿宋"/>
                <w:sz w:val="24"/>
              </w:rPr>
              <w:t>学校教职工总数</w:t>
            </w:r>
          </w:p>
        </w:tc>
        <w:tc>
          <w:tcPr>
            <w:tcW w:w="1934" w:type="dxa"/>
            <w:gridSpan w:val="3"/>
            <w:shd w:val="clear" w:color="auto" w:fill="auto"/>
            <w:noWrap w:val="0"/>
            <w:vAlign w:val="top"/>
          </w:tcPr>
          <w:p w14:paraId="44D9E6A5">
            <w:pPr>
              <w:jc w:val="center"/>
              <w:rPr>
                <w:rFonts w:hint="eastAsia" w:ascii="仿宋_GB2312" w:hAnsi="仿宋" w:eastAsia="仿宋_GB2312" w:cs="仿宋"/>
                <w:sz w:val="24"/>
              </w:rPr>
            </w:pPr>
            <w:r>
              <w:rPr>
                <w:rFonts w:hint="eastAsia" w:ascii="仿宋_GB2312" w:hAnsi="仿宋" w:eastAsia="仿宋_GB2312" w:cs="仿宋"/>
                <w:sz w:val="24"/>
              </w:rPr>
              <w:t>参加人数</w:t>
            </w:r>
          </w:p>
        </w:tc>
        <w:tc>
          <w:tcPr>
            <w:tcW w:w="1946" w:type="dxa"/>
            <w:gridSpan w:val="2"/>
            <w:shd w:val="clear" w:color="auto" w:fill="auto"/>
            <w:noWrap w:val="0"/>
            <w:vAlign w:val="top"/>
          </w:tcPr>
          <w:p w14:paraId="624D387C">
            <w:pPr>
              <w:jc w:val="center"/>
              <w:rPr>
                <w:rFonts w:hint="eastAsia" w:ascii="仿宋_GB2312" w:hAnsi="仿宋" w:eastAsia="仿宋_GB2312" w:cs="仿宋"/>
                <w:sz w:val="24"/>
              </w:rPr>
            </w:pPr>
            <w:r>
              <w:rPr>
                <w:rFonts w:hint="eastAsia" w:ascii="仿宋_GB2312" w:hAnsi="仿宋" w:eastAsia="仿宋_GB2312" w:cs="仿宋"/>
                <w:sz w:val="24"/>
              </w:rPr>
              <w:t>同意人数</w:t>
            </w:r>
          </w:p>
        </w:tc>
        <w:tc>
          <w:tcPr>
            <w:tcW w:w="2313" w:type="dxa"/>
            <w:gridSpan w:val="2"/>
            <w:shd w:val="clear" w:color="auto" w:fill="auto"/>
            <w:noWrap w:val="0"/>
            <w:vAlign w:val="top"/>
          </w:tcPr>
          <w:p w14:paraId="3909EA23">
            <w:pPr>
              <w:jc w:val="center"/>
              <w:rPr>
                <w:rFonts w:hint="eastAsia" w:ascii="仿宋_GB2312" w:hAnsi="仿宋" w:eastAsia="仿宋_GB2312" w:cs="仿宋"/>
                <w:sz w:val="24"/>
              </w:rPr>
            </w:pPr>
            <w:r>
              <w:rPr>
                <w:rFonts w:hint="eastAsia" w:ascii="仿宋_GB2312" w:hAnsi="仿宋" w:eastAsia="仿宋_GB2312" w:cs="仿宋"/>
                <w:sz w:val="24"/>
              </w:rPr>
              <w:t>不同意人数</w:t>
            </w:r>
          </w:p>
        </w:tc>
      </w:tr>
      <w:tr w14:paraId="39EC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2103" w:type="dxa"/>
            <w:gridSpan w:val="2"/>
            <w:shd w:val="clear" w:color="auto" w:fill="auto"/>
            <w:noWrap w:val="0"/>
            <w:vAlign w:val="top"/>
          </w:tcPr>
          <w:p w14:paraId="260E8758">
            <w:pPr>
              <w:jc w:val="center"/>
              <w:rPr>
                <w:rFonts w:hint="eastAsia" w:ascii="仿宋_GB2312" w:hAnsi="仿宋" w:eastAsia="仿宋_GB2312" w:cs="仿宋"/>
                <w:sz w:val="24"/>
              </w:rPr>
            </w:pPr>
          </w:p>
        </w:tc>
        <w:tc>
          <w:tcPr>
            <w:tcW w:w="1934" w:type="dxa"/>
            <w:gridSpan w:val="3"/>
            <w:shd w:val="clear" w:color="auto" w:fill="auto"/>
            <w:noWrap w:val="0"/>
            <w:vAlign w:val="top"/>
          </w:tcPr>
          <w:p w14:paraId="0D98CB7F">
            <w:pPr>
              <w:jc w:val="center"/>
              <w:rPr>
                <w:rFonts w:hint="eastAsia" w:ascii="仿宋_GB2312" w:hAnsi="仿宋" w:eastAsia="仿宋_GB2312" w:cs="仿宋"/>
                <w:sz w:val="24"/>
              </w:rPr>
            </w:pPr>
          </w:p>
        </w:tc>
        <w:tc>
          <w:tcPr>
            <w:tcW w:w="1946" w:type="dxa"/>
            <w:gridSpan w:val="2"/>
            <w:shd w:val="clear" w:color="auto" w:fill="auto"/>
            <w:noWrap w:val="0"/>
            <w:vAlign w:val="top"/>
          </w:tcPr>
          <w:p w14:paraId="2BEC4182">
            <w:pPr>
              <w:jc w:val="center"/>
              <w:rPr>
                <w:rFonts w:hint="eastAsia" w:ascii="仿宋_GB2312" w:hAnsi="仿宋" w:eastAsia="仿宋_GB2312" w:cs="仿宋"/>
                <w:sz w:val="24"/>
              </w:rPr>
            </w:pPr>
          </w:p>
        </w:tc>
        <w:tc>
          <w:tcPr>
            <w:tcW w:w="2313" w:type="dxa"/>
            <w:gridSpan w:val="2"/>
            <w:shd w:val="clear" w:color="auto" w:fill="auto"/>
            <w:noWrap w:val="0"/>
            <w:vAlign w:val="top"/>
          </w:tcPr>
          <w:p w14:paraId="06CBB33D">
            <w:pPr>
              <w:jc w:val="center"/>
              <w:rPr>
                <w:rFonts w:hint="eastAsia" w:ascii="仿宋_GB2312" w:hAnsi="仿宋" w:eastAsia="仿宋_GB2312" w:cs="仿宋"/>
                <w:sz w:val="24"/>
              </w:rPr>
            </w:pPr>
          </w:p>
        </w:tc>
      </w:tr>
      <w:tr w14:paraId="06B9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trPr>
        <w:tc>
          <w:tcPr>
            <w:tcW w:w="8296" w:type="dxa"/>
            <w:gridSpan w:val="9"/>
            <w:shd w:val="clear" w:color="auto" w:fill="auto"/>
            <w:noWrap w:val="0"/>
            <w:vAlign w:val="top"/>
          </w:tcPr>
          <w:p w14:paraId="3DC6DE42">
            <w:pPr>
              <w:rPr>
                <w:rFonts w:hint="eastAsia" w:ascii="仿宋_GB2312" w:hAnsi="仿宋" w:eastAsia="仿宋_GB2312" w:cs="仿宋"/>
                <w:sz w:val="24"/>
              </w:rPr>
            </w:pPr>
            <w:r>
              <w:rPr>
                <w:rFonts w:hint="eastAsia" w:ascii="仿宋_GB2312" w:hAnsi="仿宋" w:eastAsia="仿宋_GB2312" w:cs="仿宋"/>
                <w:sz w:val="24"/>
              </w:rPr>
              <w:t>学校就申报人员育人事迹真实性及师德综合考核提出意见：</w:t>
            </w:r>
          </w:p>
          <w:p w14:paraId="538C8D3B">
            <w:pPr>
              <w:rPr>
                <w:rFonts w:hint="eastAsia" w:ascii="仿宋_GB2312" w:hAnsi="仿宋" w:eastAsia="仿宋_GB2312" w:cs="仿宋"/>
                <w:sz w:val="24"/>
              </w:rPr>
            </w:pPr>
          </w:p>
          <w:p w14:paraId="727B0613">
            <w:pPr>
              <w:rPr>
                <w:rFonts w:hint="eastAsia" w:ascii="仿宋_GB2312" w:hAnsi="仿宋" w:eastAsia="仿宋_GB2312" w:cs="仿宋"/>
                <w:sz w:val="24"/>
              </w:rPr>
            </w:pPr>
          </w:p>
          <w:p w14:paraId="0EF6C403">
            <w:pPr>
              <w:rPr>
                <w:rFonts w:hint="eastAsia" w:ascii="仿宋_GB2312" w:hAnsi="仿宋" w:eastAsia="仿宋_GB2312" w:cs="仿宋"/>
                <w:sz w:val="24"/>
              </w:rPr>
            </w:pPr>
            <w:r>
              <w:rPr>
                <w:rFonts w:hint="eastAsia" w:ascii="仿宋_GB2312" w:hAnsi="仿宋" w:eastAsia="仿宋_GB2312" w:cs="仿宋"/>
                <w:sz w:val="24"/>
              </w:rPr>
              <w:t xml:space="preserve">育人事迹公示时间：            </w:t>
            </w:r>
          </w:p>
          <w:p w14:paraId="3A063912">
            <w:pPr>
              <w:jc w:val="center"/>
              <w:rPr>
                <w:rFonts w:hint="eastAsia" w:ascii="仿宋_GB2312" w:hAnsi="仿宋" w:eastAsia="仿宋_GB2312" w:cs="仿宋"/>
                <w:sz w:val="24"/>
              </w:rPr>
            </w:pPr>
            <w:r>
              <w:rPr>
                <w:rFonts w:hint="eastAsia" w:ascii="仿宋_GB2312" w:hAnsi="仿宋" w:eastAsia="仿宋_GB2312" w:cs="仿宋"/>
                <w:sz w:val="24"/>
              </w:rPr>
              <w:t xml:space="preserve">                 </w:t>
            </w:r>
          </w:p>
          <w:p w14:paraId="3B40287D">
            <w:pPr>
              <w:jc w:val="center"/>
              <w:rPr>
                <w:rFonts w:hint="eastAsia" w:ascii="仿宋_GB2312" w:hAnsi="仿宋" w:eastAsia="仿宋_GB2312" w:cs="仿宋"/>
                <w:sz w:val="24"/>
              </w:rPr>
            </w:pPr>
            <w:r>
              <w:rPr>
                <w:rFonts w:hint="eastAsia" w:ascii="仿宋_GB2312" w:hAnsi="仿宋" w:eastAsia="仿宋_GB2312" w:cs="仿宋"/>
                <w:sz w:val="24"/>
              </w:rPr>
              <w:t xml:space="preserve">                 单位主要负责人签名： </w:t>
            </w:r>
          </w:p>
          <w:p w14:paraId="007A9C9E">
            <w:pPr>
              <w:jc w:val="center"/>
              <w:rPr>
                <w:rFonts w:hint="eastAsia" w:ascii="仿宋_GB2312" w:hAnsi="仿宋" w:eastAsia="仿宋_GB2312" w:cs="仿宋"/>
                <w:sz w:val="24"/>
              </w:rPr>
            </w:pPr>
            <w:r>
              <w:rPr>
                <w:rFonts w:hint="eastAsia" w:ascii="仿宋_GB2312" w:hAnsi="仿宋" w:eastAsia="仿宋_GB2312" w:cs="仿宋"/>
                <w:sz w:val="24"/>
              </w:rPr>
              <w:t xml:space="preserve">       单位盖章： </w:t>
            </w:r>
          </w:p>
          <w:p w14:paraId="5B8B28FA">
            <w:pPr>
              <w:jc w:val="center"/>
              <w:rPr>
                <w:rFonts w:hint="eastAsia" w:ascii="仿宋_GB2312" w:hAnsi="仿宋" w:eastAsia="仿宋_GB2312" w:cs="仿宋"/>
                <w:sz w:val="24"/>
              </w:rPr>
            </w:pPr>
            <w:r>
              <w:rPr>
                <w:rFonts w:hint="eastAsia" w:ascii="仿宋_GB2312" w:hAnsi="仿宋" w:eastAsia="仿宋_GB2312" w:cs="仿宋"/>
                <w:sz w:val="24"/>
                <w:lang w:val="en-US" w:eastAsia="zh-CN"/>
              </w:rPr>
              <w:t xml:space="preserve">   </w:t>
            </w:r>
            <w:bookmarkStart w:id="0" w:name="_GoBack"/>
            <w:bookmarkEnd w:id="0"/>
            <w:r>
              <w:rPr>
                <w:rFonts w:hint="eastAsia" w:ascii="仿宋_GB2312" w:hAnsi="仿宋" w:eastAsia="仿宋_GB2312" w:cs="仿宋"/>
                <w:sz w:val="24"/>
              </w:rPr>
              <w:t>时间：</w:t>
            </w:r>
          </w:p>
        </w:tc>
      </w:tr>
    </w:tbl>
    <w:p w14:paraId="0ED2B685">
      <w:pPr>
        <w:ind w:firstLine="600" w:firstLineChars="200"/>
        <w:rPr>
          <w:rFonts w:ascii="仿宋_GB2312" w:eastAsia="仿宋_GB2312"/>
          <w:sz w:val="30"/>
          <w:szCs w:val="3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大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62033828"/>
      <w:docPartObj>
        <w:docPartGallery w:val="autotext"/>
      </w:docPartObj>
    </w:sdtPr>
    <w:sdtContent>
      <w:p w14:paraId="3829BB25">
        <w:pPr>
          <w:pStyle w:val="2"/>
          <w:jc w:val="center"/>
        </w:pPr>
        <w:r>
          <w:fldChar w:fldCharType="begin"/>
        </w:r>
        <w:r>
          <w:instrText xml:space="preserve">PAGE   \* MERGEFORMAT</w:instrText>
        </w:r>
        <w:r>
          <w:fldChar w:fldCharType="separate"/>
        </w:r>
        <w:r>
          <w:rPr>
            <w:lang w:val="zh-CN"/>
          </w:rPr>
          <w:t>2</w:t>
        </w:r>
        <w:r>
          <w:fldChar w:fldCharType="end"/>
        </w:r>
      </w:p>
    </w:sdtContent>
  </w:sdt>
  <w:p w14:paraId="657E2AE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ExY2FjYTJjMmNmYzU2ZTBjOTA3OWRhZmU4NTMyOTcifQ=="/>
  </w:docVars>
  <w:rsids>
    <w:rsidRoot w:val="001E2A4C"/>
    <w:rsid w:val="00087481"/>
    <w:rsid w:val="00090B17"/>
    <w:rsid w:val="000C279D"/>
    <w:rsid w:val="00140D9D"/>
    <w:rsid w:val="001E2A4C"/>
    <w:rsid w:val="002B7DE0"/>
    <w:rsid w:val="002E491A"/>
    <w:rsid w:val="002F5280"/>
    <w:rsid w:val="00344B4E"/>
    <w:rsid w:val="00494887"/>
    <w:rsid w:val="004A0DAA"/>
    <w:rsid w:val="004B4091"/>
    <w:rsid w:val="004D2461"/>
    <w:rsid w:val="00710214"/>
    <w:rsid w:val="00734402"/>
    <w:rsid w:val="0088090E"/>
    <w:rsid w:val="009105EC"/>
    <w:rsid w:val="00A162E2"/>
    <w:rsid w:val="00AD69F3"/>
    <w:rsid w:val="00AE5EA3"/>
    <w:rsid w:val="00D86380"/>
    <w:rsid w:val="00F44F73"/>
    <w:rsid w:val="00F45196"/>
    <w:rsid w:val="00FB2999"/>
    <w:rsid w:val="03FF2599"/>
    <w:rsid w:val="07762B47"/>
    <w:rsid w:val="121A1795"/>
    <w:rsid w:val="16907A92"/>
    <w:rsid w:val="1C6A7DE2"/>
    <w:rsid w:val="1D174E5B"/>
    <w:rsid w:val="34B95025"/>
    <w:rsid w:val="5D211BEA"/>
    <w:rsid w:val="68B7772E"/>
    <w:rsid w:val="6CCE0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1424</Words>
  <Characters>1458</Characters>
  <Lines>9</Lines>
  <Paragraphs>2</Paragraphs>
  <TotalTime>0</TotalTime>
  <ScaleCrop>false</ScaleCrop>
  <LinksUpToDate>false</LinksUpToDate>
  <CharactersWithSpaces>1555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2022-11-07T09:57:00Z</dcterms:created>
  <dc:creator>刘伟</dc:creator>
  <cp:lastModifiedBy>Administrator</cp:lastModifiedBy>
  <dcterms:modified xsi:type="dcterms:W3CDTF">2024-07-28T02:06:42Z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ACFE4A7323244899BFCB52FD3ED0632F_13</vt:lpwstr>
  </property>
</Properties>
</file>